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4B4C9F" w:rsidRDefault="009E565B">
      <w:pPr>
        <w:spacing w:before="240"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0"/>
          <w:szCs w:val="30"/>
        </w:rPr>
        <w:t xml:space="preserve">International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symposium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on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innovative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toxicological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approaches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          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with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the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participation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the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OECD, ECHA and EFSA</w:t>
      </w:r>
    </w:p>
    <w:p w14:paraId="00000004" w14:textId="77777777" w:rsidR="004B4C9F" w:rsidRDefault="001614E4">
      <w:pPr>
        <w:spacing w:before="240" w:line="240" w:lineRule="auto"/>
        <w:jc w:val="both"/>
        <w:rPr>
          <w:rFonts w:ascii="Calibri" w:eastAsia="Calibri" w:hAnsi="Calibri" w:cs="Calibri"/>
          <w:b/>
          <w:sz w:val="23"/>
          <w:szCs w:val="23"/>
        </w:rPr>
      </w:pPr>
      <w:hyperlink r:id="rId5">
        <w:proofErr w:type="spellStart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Department of </w:t>
        </w:r>
        <w:proofErr w:type="spellStart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Food</w:t>
        </w:r>
        <w:proofErr w:type="spellEnd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Safety</w:t>
        </w:r>
        <w:proofErr w:type="spellEnd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and </w:t>
        </w:r>
        <w:proofErr w:type="spellStart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Nutrition</w:t>
        </w:r>
        <w:proofErr w:type="spellEnd"/>
      </w:hyperlink>
      <w:r w:rsidR="009E565B"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Ministry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Agriculture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Rural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Development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Slovak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Republic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(MARD SR) and </w:t>
      </w:r>
      <w:hyperlink r:id="rId6">
        <w:proofErr w:type="spellStart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Slovak </w:t>
        </w:r>
        <w:proofErr w:type="spellStart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Toxicological</w:t>
        </w:r>
        <w:proofErr w:type="spellEnd"/>
        <w:r w:rsidR="009E565B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Society SETOX </w:t>
        </w:r>
      </w:hyperlink>
      <w:r w:rsidR="009E565B">
        <w:rPr>
          <w:rFonts w:ascii="Calibri" w:eastAsia="Calibri" w:hAnsi="Calibri" w:cs="Calibri"/>
          <w:b/>
          <w:sz w:val="23"/>
          <w:szCs w:val="23"/>
        </w:rPr>
        <w:t xml:space="preserve">are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organising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a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scientific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symposium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that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will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be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held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in May, to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discuss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implementation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innovative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internationally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recognized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approaches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to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toxicity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assessment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substances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that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do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not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require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animal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testing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.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event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will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bring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together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respected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internationally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renowned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experts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.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Organization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for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Economic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Co-operation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Development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(OECD)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will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also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provide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experts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to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give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lectures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at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b/>
          <w:sz w:val="23"/>
          <w:szCs w:val="23"/>
        </w:rPr>
        <w:t>event</w:t>
      </w:r>
      <w:proofErr w:type="spellEnd"/>
      <w:r w:rsidR="009E565B">
        <w:rPr>
          <w:rFonts w:ascii="Calibri" w:eastAsia="Calibri" w:hAnsi="Calibri" w:cs="Calibri"/>
          <w:b/>
          <w:sz w:val="23"/>
          <w:szCs w:val="23"/>
        </w:rPr>
        <w:t>.</w:t>
      </w:r>
    </w:p>
    <w:p w14:paraId="00000005" w14:textId="77777777" w:rsidR="004B4C9F" w:rsidRDefault="009E565B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symposium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entitled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„</w:t>
      </w:r>
      <w:proofErr w:type="spellStart"/>
      <w:r w:rsidR="001614E4">
        <w:fldChar w:fldCharType="begin"/>
      </w:r>
      <w:r w:rsidR="001614E4">
        <w:instrText xml:space="preserve"> HYPERLINK "https://www.setox.eu/oecd-efsa-supported-symposium" \h </w:instrText>
      </w:r>
      <w:r w:rsidR="001614E4">
        <w:fldChar w:fldCharType="separate"/>
      </w:r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>Dissemination</w:t>
      </w:r>
      <w:proofErr w:type="spellEnd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>implementation</w:t>
      </w:r>
      <w:proofErr w:type="spellEnd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>the</w:t>
      </w:r>
      <w:proofErr w:type="spellEnd"/>
      <w:r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t xml:space="preserve"> OECD </w:t>
      </w:r>
      <w:r w:rsidR="001614E4">
        <w:rPr>
          <w:rFonts w:ascii="Calibri" w:eastAsia="Calibri" w:hAnsi="Calibri" w:cs="Calibri"/>
          <w:b/>
          <w:color w:val="1155CC"/>
          <w:sz w:val="23"/>
          <w:szCs w:val="23"/>
          <w:u w:val="single"/>
        </w:rPr>
        <w:fldChar w:fldCharType="end"/>
      </w:r>
      <w:hyperlink r:id="rId7">
        <w:r>
          <w:rPr>
            <w:rFonts w:ascii="Calibri" w:eastAsia="Calibri" w:hAnsi="Calibri" w:cs="Calibri"/>
            <w:b/>
            <w:i/>
            <w:color w:val="1155CC"/>
            <w:sz w:val="23"/>
            <w:szCs w:val="23"/>
            <w:u w:val="single"/>
          </w:rPr>
          <w:t>in vitro</w:t>
        </w:r>
      </w:hyperlink>
      <w:hyperlink r:id="rId8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and </w:t>
        </w:r>
      </w:hyperlink>
      <w:hyperlink r:id="rId9">
        <w:r>
          <w:rPr>
            <w:rFonts w:ascii="Calibri" w:eastAsia="Calibri" w:hAnsi="Calibri" w:cs="Calibri"/>
            <w:b/>
            <w:i/>
            <w:color w:val="1155CC"/>
            <w:sz w:val="23"/>
            <w:szCs w:val="23"/>
            <w:u w:val="single"/>
          </w:rPr>
          <w:t xml:space="preserve">in </w:t>
        </w:r>
        <w:proofErr w:type="spellStart"/>
        <w:r>
          <w:rPr>
            <w:rFonts w:ascii="Calibri" w:eastAsia="Calibri" w:hAnsi="Calibri" w:cs="Calibri"/>
            <w:b/>
            <w:i/>
            <w:color w:val="1155CC"/>
            <w:sz w:val="23"/>
            <w:szCs w:val="23"/>
            <w:u w:val="single"/>
          </w:rPr>
          <w:t>silico</w:t>
        </w:r>
        <w:proofErr w:type="spellEnd"/>
      </w:hyperlink>
      <w:hyperlink r:id="rId10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methods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applicable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safety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and risk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assessment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of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chemicals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,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food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and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feed</w:t>
        </w:r>
        <w:proofErr w:type="spellEnd"/>
      </w:hyperlink>
      <w:r>
        <w:rPr>
          <w:rFonts w:ascii="Calibri" w:eastAsia="Calibri" w:hAnsi="Calibri" w:cs="Calibri"/>
          <w:sz w:val="23"/>
          <w:szCs w:val="23"/>
        </w:rPr>
        <w:t xml:space="preserve">”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will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take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place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online on 24-25 May 2021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driving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force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behind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symposium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 </w:t>
      </w:r>
      <w:proofErr w:type="spellStart"/>
      <w:r>
        <w:rPr>
          <w:rFonts w:ascii="Calibri" w:eastAsia="Calibri" w:hAnsi="Calibri" w:cs="Calibri"/>
          <w:sz w:val="23"/>
          <w:szCs w:val="23"/>
        </w:rPr>
        <w:t>need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sz w:val="23"/>
          <w:szCs w:val="23"/>
        </w:rPr>
        <w:t>disseminate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current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information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on </w:t>
      </w:r>
      <w:proofErr w:type="spellStart"/>
      <w:r>
        <w:rPr>
          <w:rFonts w:ascii="Calibri" w:eastAsia="Calibri" w:hAnsi="Calibri" w:cs="Calibri"/>
          <w:sz w:val="23"/>
          <w:szCs w:val="23"/>
        </w:rPr>
        <w:t>alternative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sz w:val="23"/>
          <w:szCs w:val="23"/>
        </w:rPr>
        <w:t>innovative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approaches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that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reduce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or </w:t>
      </w:r>
      <w:proofErr w:type="spellStart"/>
      <w:r>
        <w:rPr>
          <w:rFonts w:ascii="Calibri" w:eastAsia="Calibri" w:hAnsi="Calibri" w:cs="Calibri"/>
          <w:sz w:val="23"/>
          <w:szCs w:val="23"/>
        </w:rPr>
        <w:t>completely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replace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use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sz w:val="23"/>
          <w:szCs w:val="23"/>
        </w:rPr>
        <w:t>animals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sz w:val="23"/>
          <w:szCs w:val="23"/>
        </w:rPr>
        <w:t>toxicological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studies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clear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goal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event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is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increase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expert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levels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science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research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field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practical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implementation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alternative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listed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official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guidelines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approved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by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OECD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00000006" w14:textId="77777777" w:rsidR="004B4C9F" w:rsidRDefault="009E565B">
      <w:pPr>
        <w:spacing w:before="240" w:line="240" w:lineRule="auto"/>
        <w:jc w:val="both"/>
        <w:rPr>
          <w:rFonts w:ascii="Calibri" w:eastAsia="Calibri" w:hAnsi="Calibri" w:cs="Calibri"/>
          <w:i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„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Many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tests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that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have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been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performed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on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laboratory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animals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for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many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years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can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today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be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replaced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with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innovative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that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do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not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use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animals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These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are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based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for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example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on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use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cell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tissue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cultures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(so-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called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in vitro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systems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),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organoids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on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microfluidic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chips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even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 on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advanced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computer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simulations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databases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In most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cases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these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approaches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are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combined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are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also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known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as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alternative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although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this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term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becoming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less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common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Innovative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strategies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for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toxicity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assessment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substances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not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only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contribute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replacement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laboratory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animals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but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ultimately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also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better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protection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humans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,”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explains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Dr.rer.nat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. Ing. Helena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Kanďárová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sz w:val="23"/>
          <w:szCs w:val="23"/>
        </w:rPr>
        <w:t>ERT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  <w:szCs w:val="23"/>
        </w:rPr>
        <w:t>vice-president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Slovak </w:t>
      </w:r>
      <w:proofErr w:type="spellStart"/>
      <w:r>
        <w:rPr>
          <w:rFonts w:ascii="Calibri" w:eastAsia="Calibri" w:hAnsi="Calibri" w:cs="Calibri"/>
          <w:sz w:val="23"/>
          <w:szCs w:val="23"/>
        </w:rPr>
        <w:t>Toxicological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Society SETOX and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professional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guarantor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symposium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z w:val="23"/>
          <w:szCs w:val="23"/>
        </w:rPr>
        <w:t>She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further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adds</w:t>
      </w:r>
      <w:proofErr w:type="spellEnd"/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„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Institutions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at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global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European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national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levels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are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working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hard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successfully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put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innovative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toxicological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into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practice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As a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result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animal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testing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replaced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or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restricted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many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current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expertiments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Progress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this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area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is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advancing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at a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rapid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pace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and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therefore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scientific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community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as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well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as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authorities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responsible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for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development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implementation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regulatory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standards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must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be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constantly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informed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about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current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events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This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symposium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will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provide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such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information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>."</w:t>
      </w:r>
    </w:p>
    <w:p w14:paraId="00000007" w14:textId="77777777" w:rsidR="004B4C9F" w:rsidRDefault="009E565B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event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will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bring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together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top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scientists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from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hyperlink r:id="rId11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OECD</w:t>
        </w:r>
      </w:hyperlink>
      <w:r>
        <w:rPr>
          <w:rFonts w:ascii="Calibri" w:eastAsia="Calibri" w:hAnsi="Calibri" w:cs="Calibri"/>
          <w:b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European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Chemicals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Agency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(</w:t>
      </w:r>
      <w:hyperlink r:id="rId12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ECHA</w:t>
        </w:r>
      </w:hyperlink>
      <w:r>
        <w:rPr>
          <w:rFonts w:ascii="Calibri" w:eastAsia="Calibri" w:hAnsi="Calibri" w:cs="Calibri"/>
          <w:b/>
          <w:sz w:val="23"/>
          <w:szCs w:val="23"/>
        </w:rPr>
        <w:t xml:space="preserve">) and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European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Food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Safety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Authority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(</w:t>
      </w:r>
      <w:hyperlink r:id="rId13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EFSA</w:t>
        </w:r>
      </w:hyperlink>
      <w:r>
        <w:rPr>
          <w:rFonts w:ascii="Calibri" w:eastAsia="Calibri" w:hAnsi="Calibri" w:cs="Calibri"/>
          <w:b/>
          <w:sz w:val="23"/>
          <w:szCs w:val="23"/>
        </w:rPr>
        <w:t xml:space="preserve">) and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interested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participants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Experts </w:t>
      </w:r>
      <w:proofErr w:type="spellStart"/>
      <w:r>
        <w:rPr>
          <w:rFonts w:ascii="Calibri" w:eastAsia="Calibri" w:hAnsi="Calibri" w:cs="Calibri"/>
          <w:sz w:val="23"/>
          <w:szCs w:val="23"/>
        </w:rPr>
        <w:t>from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research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sz w:val="23"/>
          <w:szCs w:val="23"/>
        </w:rPr>
        <w:t>scientific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institutions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from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Slovakia and </w:t>
      </w:r>
      <w:proofErr w:type="spellStart"/>
      <w:r>
        <w:rPr>
          <w:rFonts w:ascii="Calibri" w:eastAsia="Calibri" w:hAnsi="Calibri" w:cs="Calibri"/>
          <w:sz w:val="23"/>
          <w:szCs w:val="23"/>
        </w:rPr>
        <w:t>neighboring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countries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will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take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part in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discussions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on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use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sz w:val="23"/>
          <w:szCs w:val="23"/>
        </w:rPr>
        <w:t>alternative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sz w:val="23"/>
          <w:szCs w:val="23"/>
        </w:rPr>
        <w:t>Central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sz w:val="23"/>
          <w:szCs w:val="23"/>
        </w:rPr>
        <w:t>Eastern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Europe</w:t>
      </w:r>
      <w:proofErr w:type="spellEnd"/>
      <w:r>
        <w:rPr>
          <w:rFonts w:ascii="Calibri" w:eastAsia="Calibri" w:hAnsi="Calibri" w:cs="Calibri"/>
          <w:sz w:val="23"/>
          <w:szCs w:val="23"/>
        </w:rPr>
        <w:t>.</w:t>
      </w:r>
    </w:p>
    <w:p w14:paraId="00000008" w14:textId="77777777" w:rsidR="004B4C9F" w:rsidRDefault="009E565B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„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realize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that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theory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very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important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And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consider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it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especially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beneficial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if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theoretical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knowledge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is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lined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work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practice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Therefore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decided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dedicate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second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day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symposium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practical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demonstrations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Participants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will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see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how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work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with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OECD and EFSA software and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databases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These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can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also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be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used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for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food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feed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toxicity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testing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Demonstration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work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with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validated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in vitro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methods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practical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demonstrations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of in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silico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modeling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will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facilitate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correct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interpretation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results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cordially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invite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all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experts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who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work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this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field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or are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interested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topic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, to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attend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this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symposium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,”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closes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MUDr. Katarína Kromerová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  <w:szCs w:val="23"/>
        </w:rPr>
        <w:t>currently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designated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Director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 xml:space="preserve">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Department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Food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Safety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Nutrition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MARD SR.</w:t>
      </w:r>
    </w:p>
    <w:p w14:paraId="00000009" w14:textId="77777777" w:rsidR="004B4C9F" w:rsidRDefault="009E565B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lastRenderedPageBreak/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international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symposium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could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be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organised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thanks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to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financial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contribution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within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co-financing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joint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projects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Slovak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Republic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OECD,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approved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by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hyperlink r:id="rId14"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Ministry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of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Foreign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and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European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Affairs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of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Slovak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Republic</w:t>
        </w:r>
        <w:proofErr w:type="spellEnd"/>
      </w:hyperlink>
      <w:r>
        <w:rPr>
          <w:rFonts w:ascii="Calibri" w:eastAsia="Calibri" w:hAnsi="Calibri" w:cs="Calibri"/>
          <w:b/>
          <w:sz w:val="23"/>
          <w:szCs w:val="23"/>
        </w:rPr>
        <w:t xml:space="preserve">, as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well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as by EFSA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  <w:szCs w:val="23"/>
        </w:rPr>
        <w:t>supporting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use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sz w:val="23"/>
          <w:szCs w:val="23"/>
        </w:rPr>
        <w:t>innovative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approaches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in </w:t>
      </w:r>
      <w:proofErr w:type="spellStart"/>
      <w:r>
        <w:rPr>
          <w:rFonts w:ascii="Calibri" w:eastAsia="Calibri" w:hAnsi="Calibri" w:cs="Calibri"/>
          <w:sz w:val="23"/>
          <w:szCs w:val="23"/>
        </w:rPr>
        <w:t>food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sz w:val="23"/>
          <w:szCs w:val="23"/>
        </w:rPr>
        <w:t>feed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toxicology</w:t>
      </w:r>
      <w:proofErr w:type="spellEnd"/>
      <w:r>
        <w:rPr>
          <w:rFonts w:ascii="Calibri" w:eastAsia="Calibri" w:hAnsi="Calibri" w:cs="Calibri"/>
          <w:sz w:val="23"/>
          <w:szCs w:val="23"/>
        </w:rPr>
        <w:t>.</w:t>
      </w:r>
    </w:p>
    <w:p w14:paraId="0000000A" w14:textId="77777777" w:rsidR="004B4C9F" w:rsidRDefault="009E565B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b/>
          <w:sz w:val="23"/>
          <w:szCs w:val="23"/>
        </w:rPr>
        <w:t>For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more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information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  <w:szCs w:val="23"/>
        </w:rPr>
        <w:t>an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online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registration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form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sz w:val="23"/>
          <w:szCs w:val="23"/>
        </w:rPr>
        <w:t>instructions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for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submitting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poster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abstracts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visit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hyperlink r:id="rId15"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the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symposium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website</w:t>
        </w:r>
        <w:proofErr w:type="spellEnd"/>
      </w:hyperlink>
      <w:r>
        <w:rPr>
          <w:rFonts w:ascii="Calibri" w:eastAsia="Calibri" w:hAnsi="Calibri" w:cs="Calibri"/>
          <w:sz w:val="23"/>
          <w:szCs w:val="23"/>
        </w:rPr>
        <w:t>.</w:t>
      </w:r>
    </w:p>
    <w:p w14:paraId="0000000B" w14:textId="77777777" w:rsidR="004B4C9F" w:rsidRDefault="009E565B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***************************</w:t>
      </w:r>
    </w:p>
    <w:p w14:paraId="0000000C" w14:textId="77777777" w:rsidR="004B4C9F" w:rsidRDefault="009E565B">
      <w:pPr>
        <w:spacing w:line="240" w:lineRule="auto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Department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Food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Safety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Nutrition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MPRV SR and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the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Slovak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Toxicological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Society SETOX</w:t>
      </w:r>
    </w:p>
    <w:p w14:paraId="0000000D" w14:textId="77777777" w:rsidR="004B4C9F" w:rsidRDefault="001614E4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hyperlink r:id="rId16"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 xml:space="preserve">Department of </w:t>
        </w:r>
        <w:proofErr w:type="spellStart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Food</w:t>
        </w:r>
        <w:proofErr w:type="spellEnd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 xml:space="preserve"> </w:t>
        </w:r>
        <w:proofErr w:type="spellStart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Safety</w:t>
        </w:r>
        <w:proofErr w:type="spellEnd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 xml:space="preserve"> and </w:t>
        </w:r>
        <w:proofErr w:type="spellStart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Nutrition</w:t>
        </w:r>
        <w:proofErr w:type="spellEnd"/>
      </w:hyperlink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MARD SR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ensures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performance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Slovak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Focal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Point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for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Scientific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Technical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Matters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EFSA,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another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8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contact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points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with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European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international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scope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It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also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fulfills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legislation-based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responsibilities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in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fields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official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controls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placing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GMO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food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feed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on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market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,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also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organises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national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international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events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focused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on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food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safety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in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agri-food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chain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>.</w:t>
      </w:r>
    </w:p>
    <w:p w14:paraId="0000000E" w14:textId="77777777" w:rsidR="004B4C9F" w:rsidRDefault="001614E4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  <w:hyperlink r:id="rId17"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 xml:space="preserve">Slovak </w:t>
        </w:r>
        <w:proofErr w:type="spellStart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Toxicological</w:t>
        </w:r>
        <w:proofErr w:type="spellEnd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 xml:space="preserve"> Society SETOX </w:t>
        </w:r>
      </w:hyperlink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is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civic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association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toxicologists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affiliated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with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Slovak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Academy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Sciences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. SETOX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organises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national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international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events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in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field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toxicology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leads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hyperlink r:id="rId18"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 xml:space="preserve">Slovak National </w:t>
        </w:r>
        <w:proofErr w:type="spellStart"/>
        <w:r w:rsidR="009E565B"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Platform</w:t>
        </w:r>
        <w:proofErr w:type="spellEnd"/>
      </w:hyperlink>
      <w:r w:rsidR="009E565B">
        <w:rPr>
          <w:rFonts w:ascii="Calibri" w:eastAsia="Calibri" w:hAnsi="Calibri" w:cs="Calibri"/>
          <w:color w:val="C00000"/>
          <w:sz w:val="23"/>
          <w:szCs w:val="23"/>
        </w:rPr>
        <w:t xml:space="preserve"> </w:t>
      </w:r>
      <w:r w:rsidR="009E565B">
        <w:rPr>
          <w:rFonts w:ascii="Calibri" w:eastAsia="Calibri" w:hAnsi="Calibri" w:cs="Calibri"/>
          <w:sz w:val="23"/>
          <w:szCs w:val="23"/>
        </w:rPr>
        <w:t xml:space="preserve">(SNP 3Rs)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for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promotion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alternative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methods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principles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3R, and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participates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in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development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education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of Slovak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toxicologists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, as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well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as in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increasing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their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9E565B">
        <w:rPr>
          <w:rFonts w:ascii="Calibri" w:eastAsia="Calibri" w:hAnsi="Calibri" w:cs="Calibri"/>
          <w:sz w:val="23"/>
          <w:szCs w:val="23"/>
        </w:rPr>
        <w:t>qualifications</w:t>
      </w:r>
      <w:proofErr w:type="spellEnd"/>
      <w:r w:rsidR="009E565B">
        <w:rPr>
          <w:rFonts w:ascii="Calibri" w:eastAsia="Calibri" w:hAnsi="Calibri" w:cs="Calibri"/>
          <w:sz w:val="23"/>
          <w:szCs w:val="23"/>
        </w:rPr>
        <w:t>.</w:t>
      </w:r>
    </w:p>
    <w:p w14:paraId="0000000F" w14:textId="77777777" w:rsidR="004B4C9F" w:rsidRDefault="004B4C9F">
      <w:pPr>
        <w:spacing w:before="240" w:line="240" w:lineRule="auto"/>
        <w:jc w:val="both"/>
        <w:rPr>
          <w:rFonts w:ascii="Calibri" w:eastAsia="Calibri" w:hAnsi="Calibri" w:cs="Calibri"/>
          <w:sz w:val="23"/>
          <w:szCs w:val="23"/>
        </w:rPr>
      </w:pPr>
    </w:p>
    <w:p w14:paraId="00000010" w14:textId="77777777" w:rsidR="004B4C9F" w:rsidRDefault="004B4C9F">
      <w:pPr>
        <w:spacing w:before="240" w:line="240" w:lineRule="auto"/>
        <w:jc w:val="center"/>
        <w:rPr>
          <w:rFonts w:ascii="Calibri" w:eastAsia="Calibri" w:hAnsi="Calibri" w:cs="Calibri"/>
        </w:rPr>
      </w:pPr>
    </w:p>
    <w:p w14:paraId="00000011" w14:textId="77777777" w:rsidR="004B4C9F" w:rsidRDefault="004B4C9F">
      <w:pPr>
        <w:spacing w:before="240" w:line="240" w:lineRule="auto"/>
        <w:jc w:val="center"/>
        <w:rPr>
          <w:rFonts w:ascii="Calibri" w:eastAsia="Calibri" w:hAnsi="Calibri" w:cs="Calibri"/>
        </w:rPr>
      </w:pPr>
    </w:p>
    <w:p w14:paraId="00000012" w14:textId="77777777" w:rsidR="004B4C9F" w:rsidRDefault="004B4C9F">
      <w:pPr>
        <w:spacing w:before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3" w14:textId="77777777" w:rsidR="004B4C9F" w:rsidRDefault="004B4C9F">
      <w:pPr>
        <w:rPr>
          <w:rFonts w:ascii="Calibri" w:eastAsia="Calibri" w:hAnsi="Calibri" w:cs="Calibri"/>
        </w:rPr>
      </w:pPr>
    </w:p>
    <w:p w14:paraId="00000014" w14:textId="77777777" w:rsidR="004B4C9F" w:rsidRDefault="004B4C9F">
      <w:pPr>
        <w:rPr>
          <w:rFonts w:ascii="Calibri" w:eastAsia="Calibri" w:hAnsi="Calibri" w:cs="Calibri"/>
        </w:rPr>
      </w:pPr>
    </w:p>
    <w:sectPr w:rsidR="004B4C9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F"/>
    <w:rsid w:val="001614E4"/>
    <w:rsid w:val="004B4C9F"/>
    <w:rsid w:val="009E565B"/>
    <w:rsid w:val="00D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1C3C"/>
  <w15:docId w15:val="{ABEF8DBA-FA4E-40BA-8DA6-85A1FC6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ox.eu/oecd-efsa-supported-symposium" TargetMode="External"/><Relationship Id="rId13" Type="http://schemas.openxmlformats.org/officeDocument/2006/relationships/hyperlink" Target="https://www.efsa.europa.eu/en" TargetMode="External"/><Relationship Id="rId18" Type="http://schemas.openxmlformats.org/officeDocument/2006/relationships/hyperlink" Target="https://www.snp3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tox.eu/oecd-efsa-supported-symposium" TargetMode="External"/><Relationship Id="rId12" Type="http://schemas.openxmlformats.org/officeDocument/2006/relationships/hyperlink" Target="https://echa.europa.eu/sk/" TargetMode="External"/><Relationship Id="rId17" Type="http://schemas.openxmlformats.org/officeDocument/2006/relationships/hyperlink" Target="https://www.setox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mprvsr-obp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tox.eu/" TargetMode="External"/><Relationship Id="rId11" Type="http://schemas.openxmlformats.org/officeDocument/2006/relationships/hyperlink" Target="http://www.oecd.org/chemicalsafety/" TargetMode="External"/><Relationship Id="rId5" Type="http://schemas.openxmlformats.org/officeDocument/2006/relationships/hyperlink" Target="https://bit.ly/mprvsr-obpv" TargetMode="External"/><Relationship Id="rId15" Type="http://schemas.openxmlformats.org/officeDocument/2006/relationships/hyperlink" Target="https://www.setox.eu/oecd-efsa-supported-symposium" TargetMode="External"/><Relationship Id="rId10" Type="http://schemas.openxmlformats.org/officeDocument/2006/relationships/hyperlink" Target="https://www.setox.eu/oecd-efsa-supported-symposi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tox.eu/oecd-efsa-supported-symposium" TargetMode="External"/><Relationship Id="rId14" Type="http://schemas.openxmlformats.org/officeDocument/2006/relationships/hyperlink" Target="https://www.mz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gW/VR2jh43yEiaGRy9lvzy6NQ==">AMUW2mXKkY9MGHdi1qJ3DBJDhicRLHYL3QdwCna4N7h4447qpvB11zjqqfM6WResAIGo76BY3R5Ev72KE5FXuSr0ar5uXyuIF1okiOULwySsl7Vxz1eQU0I=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Company>MPSR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Kandarova</dc:creator>
  <cp:lastModifiedBy>Milec Lucia</cp:lastModifiedBy>
  <cp:revision>4</cp:revision>
  <dcterms:created xsi:type="dcterms:W3CDTF">2021-04-06T08:24:00Z</dcterms:created>
  <dcterms:modified xsi:type="dcterms:W3CDTF">2021-04-13T13:18:00Z</dcterms:modified>
</cp:coreProperties>
</file>