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rPr>
          <w:rFonts w:ascii="Calibri" w:hAnsi="Calibri" w:cs="Calibri" w:asciiTheme="majorHAnsi" w:cstheme="majorHAnsi" w:hAnsiTheme="majorHAnsi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sz w:val="24"/>
          <w:szCs w:val="24"/>
        </w:rPr>
        <w:t>TLAČOVÁ SPRÁVA</w:t>
        <w:tab/>
        <w:tab/>
        <w:tab/>
        <w:tab/>
        <w:tab/>
        <w:tab/>
        <w:t>18. november 2020, Bratislava</w:t>
      </w:r>
    </w:p>
    <w:p>
      <w:pPr>
        <w:pStyle w:val="Normal"/>
        <w:rPr>
          <w:rFonts w:ascii="Calibri" w:hAnsi="Calibri" w:cs="Calibri" w:asciiTheme="majorHAnsi" w:cstheme="majorHAnsi" w:hAnsiTheme="majorHAnsi"/>
          <w:sz w:val="24"/>
        </w:rPr>
      </w:pPr>
      <w:r>
        <w:rPr>
          <w:rFonts w:cs="Calibri" w:cstheme="majorHAnsi" w:ascii="Calibri" w:hAnsi="Calibri"/>
          <w:sz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240" w:after="0"/>
        <w:jc w:val="center"/>
        <w:rPr>
          <w:rFonts w:ascii="Calibri" w:hAnsi="Calibri" w:cs="Calibri" w:asciiTheme="majorHAnsi" w:cstheme="majorHAnsi" w:hAnsiTheme="majorHAnsi"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32"/>
          <w:szCs w:val="28"/>
        </w:rPr>
        <w:t xml:space="preserve">Svetový týždeň povedomia o mikrobiálnej rezistencii </w:t>
      </w:r>
    </w:p>
    <w:p>
      <w:pPr>
        <w:pStyle w:val="Normal"/>
        <w:spacing w:lineRule="auto" w:line="240" w:before="240" w:after="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hyperlink r:id="rId2">
        <w:r>
          <w:rPr>
            <w:rFonts w:cs="Calibri" w:ascii="Calibri" w:hAnsi="Calibri" w:asciiTheme="majorHAnsi" w:cstheme="majorHAnsi" w:hAnsiTheme="majorHAnsi"/>
            <w:b/>
            <w:color w:val="1155CC"/>
            <w:sz w:val="24"/>
            <w:u w:val="single"/>
          </w:rPr>
          <w:t>Odbor bezpečnosti potravín a výživy</w:t>
        </w:r>
      </w:hyperlink>
      <w:r>
        <w:rPr>
          <w:rFonts w:cs="Calibri" w:ascii="Calibri" w:hAnsi="Calibri" w:asciiTheme="majorHAnsi" w:cstheme="majorHAnsi" w:hAnsiTheme="majorHAnsi"/>
          <w:b/>
          <w:sz w:val="24"/>
        </w:rPr>
        <w:t xml:space="preserve"> Ministerstva pôdohospodárstva a rozvoja vidieka SR (MPRV SR) spustil pri príležitosti Svetového týždňa povedomia o mikrobiálnej rezistencii kampaň na sociálnych sieťach </w:t>
      </w:r>
      <w:r>
        <w:rPr>
          <w:rFonts w:cs="Calibri" w:ascii="Calibri" w:hAnsi="Calibri" w:asciiTheme="majorHAnsi" w:cstheme="majorHAnsi" w:hAnsiTheme="majorHAnsi"/>
          <w:sz w:val="24"/>
        </w:rPr>
        <w:t>(</w:t>
      </w:r>
      <w:hyperlink r:id="rId3">
        <w:r>
          <w:rPr>
            <w:rFonts w:cs="Calibri" w:ascii="Calibri" w:hAnsi="Calibri" w:asciiTheme="majorHAnsi" w:cstheme="majorHAnsi" w:hAnsiTheme="majorHAnsi"/>
            <w:color w:val="1155CC"/>
            <w:sz w:val="24"/>
            <w:u w:val="single"/>
          </w:rPr>
          <w:t>Facebook</w:t>
        </w:r>
      </w:hyperlink>
      <w:r>
        <w:rPr>
          <w:rFonts w:cs="Calibri" w:ascii="Calibri" w:hAnsi="Calibri" w:asciiTheme="majorHAnsi" w:cstheme="majorHAnsi" w:hAnsiTheme="majorHAnsi"/>
          <w:sz w:val="24"/>
        </w:rPr>
        <w:t xml:space="preserve"> a </w:t>
      </w:r>
      <w:hyperlink r:id="rId4">
        <w:r>
          <w:rPr>
            <w:rFonts w:cs="Calibri" w:ascii="Calibri" w:hAnsi="Calibri" w:asciiTheme="majorHAnsi" w:cstheme="majorHAnsi" w:hAnsiTheme="majorHAnsi"/>
            <w:color w:val="1155CC"/>
            <w:sz w:val="24"/>
            <w:u w:val="single"/>
          </w:rPr>
          <w:t>Instagram</w:t>
        </w:r>
      </w:hyperlink>
      <w:r>
        <w:rPr>
          <w:rFonts w:cs="Calibri" w:ascii="Calibri" w:hAnsi="Calibri" w:asciiTheme="majorHAnsi" w:cstheme="majorHAnsi" w:hAnsiTheme="majorHAnsi"/>
          <w:sz w:val="24"/>
        </w:rPr>
        <w:t>)</w:t>
      </w:r>
      <w:r>
        <w:rPr>
          <w:rFonts w:cs="Calibri" w:ascii="Calibri" w:hAnsi="Calibri" w:asciiTheme="majorHAnsi" w:cstheme="majorHAnsi" w:hAnsiTheme="majorHAnsi"/>
          <w:b/>
          <w:sz w:val="24"/>
        </w:rPr>
        <w:t xml:space="preserve">. V rámci kampane zdôrazňuje, že zodpovednosť za zachovanie účinnosti antimikrobiálnych látok má v rukách každý z nás. K rozvážnemu konaniu nabáda spotrebiteľa, ale aj chovateľa hospodárskych zvierat z pohľadu bezpečnosti potravín. </w:t>
      </w:r>
    </w:p>
    <w:p>
      <w:pPr>
        <w:pStyle w:val="Normal"/>
        <w:spacing w:lineRule="auto" w:line="240" w:before="240" w:after="0"/>
        <w:jc w:val="both"/>
        <w:rPr>
          <w:rFonts w:ascii="Calibri" w:hAnsi="Calibri" w:cs="Calibri" w:asciiTheme="majorHAnsi" w:cstheme="majorHAnsi" w:hAnsiTheme="majorHAnsi"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Svetový týždeň povedomia o mikrobiálnej rezistencii</w:t>
      </w:r>
      <w:r>
        <w:rPr>
          <w:rFonts w:cs="Calibri" w:ascii="Calibri" w:hAnsi="Calibri" w:asciiTheme="majorHAnsi" w:cstheme="majorHAnsi" w:hAnsiTheme="majorHAnsi"/>
          <w:sz w:val="24"/>
        </w:rPr>
        <w:t xml:space="preserve"> prebieha </w:t>
      </w:r>
      <w:r>
        <w:rPr>
          <w:rFonts w:cs="Calibri" w:ascii="Calibri" w:hAnsi="Calibri" w:asciiTheme="majorHAnsi" w:cstheme="majorHAnsi" w:hAnsiTheme="majorHAnsi"/>
          <w:b/>
          <w:sz w:val="24"/>
        </w:rPr>
        <w:t>každoročne od 18. do 24. novembra</w:t>
      </w:r>
      <w:r>
        <w:rPr>
          <w:rFonts w:cs="Calibri" w:ascii="Calibri" w:hAnsi="Calibri" w:asciiTheme="majorHAnsi" w:cstheme="majorHAnsi" w:hAnsiTheme="majorHAnsi"/>
          <w:sz w:val="24"/>
        </w:rPr>
        <w:t xml:space="preserve">. Do tejto iniciatívy sa zapájajú mnohé medzinárodné či národné inštitúcie. Tento rok sa pripojil aj odbor bezpečnosti potravín a výživy MPRV SR. </w:t>
      </w:r>
      <w:r>
        <w:rPr>
          <w:rFonts w:cs="Calibri" w:ascii="Calibri" w:hAnsi="Calibri" w:asciiTheme="majorHAnsi" w:cstheme="majorHAnsi" w:hAnsiTheme="majorHAnsi"/>
          <w:b/>
          <w:sz w:val="24"/>
        </w:rPr>
        <w:t xml:space="preserve">Úroveň mikrobiálnej rezistencie </w:t>
      </w:r>
      <w:r>
        <w:rPr>
          <w:rFonts w:cs="Calibri" w:ascii="Calibri" w:hAnsi="Calibri" w:asciiTheme="majorHAnsi" w:cstheme="majorHAnsi" w:hAnsiTheme="majorHAnsi"/>
          <w:sz w:val="24"/>
        </w:rPr>
        <w:t xml:space="preserve">totiž </w:t>
      </w:r>
      <w:r>
        <w:rPr>
          <w:rFonts w:cs="Calibri" w:ascii="Calibri" w:hAnsi="Calibri" w:asciiTheme="majorHAnsi" w:cstheme="majorHAnsi" w:hAnsiTheme="majorHAnsi"/>
          <w:b/>
          <w:sz w:val="24"/>
        </w:rPr>
        <w:t>stúpa</w:t>
      </w:r>
      <w:r>
        <w:rPr>
          <w:rFonts w:cs="Calibri" w:ascii="Calibri" w:hAnsi="Calibri" w:asciiTheme="majorHAnsi" w:cstheme="majorHAnsi" w:hAnsiTheme="majorHAnsi"/>
          <w:sz w:val="24"/>
        </w:rPr>
        <w:t xml:space="preserve">. </w:t>
      </w:r>
      <w:r>
        <w:rPr>
          <w:rFonts w:cs="Calibri" w:ascii="Calibri" w:hAnsi="Calibri" w:asciiTheme="majorHAnsi" w:cstheme="majorHAnsi" w:hAnsiTheme="majorHAnsi"/>
          <w:b/>
          <w:sz w:val="24"/>
        </w:rPr>
        <w:t>Hlavnými dôvodmi</w:t>
      </w:r>
      <w:r>
        <w:rPr>
          <w:rFonts w:cs="Calibri" w:ascii="Calibri" w:hAnsi="Calibri" w:asciiTheme="majorHAnsi" w:cstheme="majorHAnsi" w:hAnsiTheme="majorHAnsi"/>
          <w:sz w:val="24"/>
        </w:rPr>
        <w:t xml:space="preserve"> sú nadužívanie a </w:t>
      </w:r>
      <w:r>
        <w:rPr>
          <w:rFonts w:cs="Calibri" w:ascii="Calibri" w:hAnsi="Calibri" w:asciiTheme="majorHAnsi" w:cstheme="majorHAnsi" w:hAnsiTheme="majorHAnsi"/>
          <w:b/>
          <w:sz w:val="24"/>
        </w:rPr>
        <w:t xml:space="preserve">nesprávne užívanie </w:t>
      </w:r>
      <w:r>
        <w:rPr>
          <w:rFonts w:cs="Calibri" w:ascii="Calibri" w:hAnsi="Calibri" w:asciiTheme="majorHAnsi" w:cstheme="majorHAnsi" w:hAnsiTheme="majorHAnsi"/>
          <w:sz w:val="24"/>
        </w:rPr>
        <w:t xml:space="preserve">antimikrobiálnych látok. Kvôli mikrobiálnej rezistencii sa môžu stať </w:t>
      </w:r>
      <w:r>
        <w:rPr>
          <w:rFonts w:cs="Calibri" w:ascii="Calibri" w:hAnsi="Calibri" w:asciiTheme="majorHAnsi" w:cstheme="majorHAnsi" w:hAnsiTheme="majorHAnsi"/>
          <w:b/>
          <w:sz w:val="24"/>
        </w:rPr>
        <w:t>infekčné ochorenia ťažko liečiteľnými, až neliečiteľnými</w:t>
      </w:r>
      <w:r>
        <w:rPr>
          <w:rFonts w:cs="Calibri" w:ascii="Calibri" w:hAnsi="Calibri" w:asciiTheme="majorHAnsi" w:cstheme="majorHAnsi" w:hAnsiTheme="majorHAnsi"/>
          <w:sz w:val="24"/>
        </w:rPr>
        <w:t xml:space="preserve">. </w:t>
      </w:r>
    </w:p>
    <w:p>
      <w:pPr>
        <w:pStyle w:val="Normal"/>
        <w:spacing w:lineRule="auto" w:line="240" w:before="240" w:after="0"/>
        <w:jc w:val="both"/>
        <w:rPr>
          <w:rFonts w:ascii="Calibri" w:hAnsi="Calibri" w:cs="Calibri" w:asciiTheme="majorHAnsi" w:cstheme="majorHAnsi" w:hAnsiTheme="majorHAnsi"/>
          <w:sz w:val="24"/>
        </w:rPr>
      </w:pPr>
      <w:r>
        <w:rPr>
          <w:rFonts w:cs="Calibri" w:ascii="Calibri" w:hAnsi="Calibri" w:asciiTheme="majorHAnsi" w:cstheme="majorHAnsi" w:hAnsiTheme="majorHAnsi"/>
          <w:i/>
          <w:sz w:val="24"/>
        </w:rPr>
        <w:t>„</w:t>
      </w:r>
      <w:r>
        <w:rPr>
          <w:rFonts w:cs="Calibri" w:ascii="Calibri" w:hAnsi="Calibri" w:asciiTheme="majorHAnsi" w:cstheme="majorHAnsi" w:hAnsiTheme="majorHAnsi"/>
          <w:i/>
          <w:sz w:val="24"/>
        </w:rPr>
        <w:t xml:space="preserve">Mikroorganizmy sa kvôli rezistencii stávajú odolnejšími voči účinku antimikrobiálnych látok. Praktickým príkladom týchto látok sú antibiotiká. Hádam už každý z nás zachytil, že je potrebné užívať antibiotiká obozretne, aby sme si zachovali ich účinnosť. Problém rezistencie je však omnoho komplexnejší. Antibiotiká sa používajú aj u zvierat určených na produkciu potravín. Ak sa u baktérií, ktoré sa u zvierat vyskytujú prirodzene, rozvinie rezistencia, rezistentné baktérie sa môžu šíriť ďalej prostredníctvom potravinového reťazca alebo životného prostredia. Aj keď to nie je na prvý pohľad zrejmé, rezistentné mikróby u zvierat ovplyvňujú účinnosť antibiotík používaných v humánnej medicíne. Preto je potrebné dbať na obozretné užívanie antimikrobiálnych látok v chovov zvierat, ale aj na dôslednú hygienu v kuchyni, ktorá šíreniu potenciálne rezistentných mikróbov nedá žiadnu šancu,” </w:t>
      </w:r>
      <w:r>
        <w:rPr>
          <w:rFonts w:cs="Calibri" w:ascii="Calibri" w:hAnsi="Calibri" w:asciiTheme="majorHAnsi" w:cstheme="majorHAnsi" w:hAnsiTheme="majorHAnsi"/>
          <w:sz w:val="24"/>
        </w:rPr>
        <w:t>vysvetľuje Ing. Marica Kuzmiak Theiszová, PhD., riaditeľka odboru bezpečnosti potravín a výživy MPRV SR.</w:t>
      </w:r>
    </w:p>
    <w:p>
      <w:pPr>
        <w:pStyle w:val="Normal"/>
        <w:spacing w:lineRule="auto" w:line="240" w:before="240" w:after="0"/>
        <w:jc w:val="both"/>
        <w:rPr>
          <w:rFonts w:ascii="Calibri" w:hAnsi="Calibri" w:cs="Calibri" w:asciiTheme="majorHAnsi" w:cstheme="majorHAnsi" w:hAnsiTheme="majorHAnsi"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 xml:space="preserve">Kampaň </w:t>
      </w:r>
      <w:r>
        <w:rPr>
          <w:rFonts w:cs="Calibri" w:ascii="Calibri" w:hAnsi="Calibri" w:asciiTheme="majorHAnsi" w:cstheme="majorHAnsi" w:hAnsiTheme="majorHAnsi"/>
          <w:sz w:val="24"/>
        </w:rPr>
        <w:t>na sociálnych sieťach (</w:t>
      </w:r>
      <w:hyperlink r:id="rId5">
        <w:r>
          <w:rPr>
            <w:rFonts w:cs="Calibri" w:ascii="Calibri" w:hAnsi="Calibri" w:asciiTheme="majorHAnsi" w:cstheme="majorHAnsi" w:hAnsiTheme="majorHAnsi"/>
            <w:color w:val="1155CC"/>
            <w:sz w:val="24"/>
            <w:u w:val="single"/>
          </w:rPr>
          <w:t>Facebook</w:t>
        </w:r>
      </w:hyperlink>
      <w:r>
        <w:rPr>
          <w:rFonts w:cs="Calibri" w:ascii="Calibri" w:hAnsi="Calibri" w:asciiTheme="majorHAnsi" w:cstheme="majorHAnsi" w:hAnsiTheme="majorHAnsi"/>
          <w:sz w:val="24"/>
        </w:rPr>
        <w:t xml:space="preserve"> a </w:t>
      </w:r>
      <w:hyperlink r:id="rId6">
        <w:r>
          <w:rPr>
            <w:rFonts w:cs="Calibri" w:ascii="Calibri" w:hAnsi="Calibri" w:asciiTheme="majorHAnsi" w:cstheme="majorHAnsi" w:hAnsiTheme="majorHAnsi"/>
            <w:color w:val="1155CC"/>
            <w:sz w:val="24"/>
            <w:u w:val="single"/>
          </w:rPr>
          <w:t>Instagram</w:t>
        </w:r>
      </w:hyperlink>
      <w:r>
        <w:rPr>
          <w:rFonts w:cs="Calibri" w:ascii="Calibri" w:hAnsi="Calibri" w:asciiTheme="majorHAnsi" w:cstheme="majorHAnsi" w:hAnsiTheme="majorHAnsi"/>
          <w:sz w:val="24"/>
        </w:rPr>
        <w:t xml:space="preserve">) </w:t>
      </w:r>
      <w:r>
        <w:rPr>
          <w:rFonts w:cs="Calibri" w:ascii="Calibri" w:hAnsi="Calibri" w:asciiTheme="majorHAnsi" w:cstheme="majorHAnsi" w:hAnsiTheme="majorHAnsi"/>
          <w:b/>
          <w:sz w:val="24"/>
        </w:rPr>
        <w:t>poskytne praktické tipy</w:t>
      </w:r>
      <w:r>
        <w:rPr>
          <w:rFonts w:cs="Calibri" w:ascii="Calibri" w:hAnsi="Calibri" w:asciiTheme="majorHAnsi" w:cstheme="majorHAnsi" w:hAnsiTheme="majorHAnsi"/>
          <w:sz w:val="24"/>
        </w:rPr>
        <w:t xml:space="preserve"> ako môže chovateľ, ale aj spotrebiteľ prispieť</w:t>
      </w:r>
      <w:r>
        <w:rPr>
          <w:rFonts w:cs="Calibri" w:ascii="Calibri" w:hAnsi="Calibri" w:asciiTheme="majorHAnsi" w:cstheme="majorHAnsi" w:hAnsiTheme="majorHAnsi"/>
          <w:b/>
          <w:sz w:val="24"/>
        </w:rPr>
        <w:t xml:space="preserve"> k zachovaniu účinnosti antibiotík</w:t>
      </w:r>
      <w:r>
        <w:rPr>
          <w:rFonts w:cs="Calibri" w:ascii="Calibri" w:hAnsi="Calibri" w:asciiTheme="majorHAnsi" w:cstheme="majorHAnsi" w:hAnsiTheme="majorHAnsi"/>
          <w:sz w:val="24"/>
        </w:rPr>
        <w:t xml:space="preserve">. Okrem toho </w:t>
      </w:r>
      <w:r>
        <w:rPr>
          <w:rFonts w:cs="Calibri" w:ascii="Calibri" w:hAnsi="Calibri" w:asciiTheme="majorHAnsi" w:cstheme="majorHAnsi" w:hAnsiTheme="majorHAnsi"/>
          <w:b/>
          <w:sz w:val="24"/>
        </w:rPr>
        <w:t>predstaví úlohu európskych orgánov</w:t>
      </w:r>
      <w:r>
        <w:rPr>
          <w:rFonts w:cs="Calibri" w:ascii="Calibri" w:hAnsi="Calibri" w:asciiTheme="majorHAnsi" w:cstheme="majorHAnsi" w:hAnsiTheme="majorHAnsi"/>
          <w:sz w:val="24"/>
        </w:rPr>
        <w:t xml:space="preserve"> v monitoringu mikrobiálnej rezistencie a </w:t>
      </w:r>
      <w:r>
        <w:rPr>
          <w:rFonts w:cs="Calibri" w:ascii="Calibri" w:hAnsi="Calibri" w:asciiTheme="majorHAnsi" w:cstheme="majorHAnsi" w:hAnsiTheme="majorHAnsi"/>
          <w:b/>
          <w:sz w:val="24"/>
        </w:rPr>
        <w:t>ich úzku spoluprácu</w:t>
      </w:r>
      <w:r>
        <w:rPr>
          <w:rFonts w:cs="Calibri" w:ascii="Calibri" w:hAnsi="Calibri" w:asciiTheme="majorHAnsi" w:cstheme="majorHAnsi" w:hAnsiTheme="majorHAnsi"/>
          <w:sz w:val="24"/>
        </w:rPr>
        <w:t xml:space="preserve">, ktoré sú pre prijímanie účinných opatrení naozaj kľúčové. </w:t>
      </w:r>
      <w:r>
        <w:rPr>
          <w:rFonts w:cs="Calibri" w:ascii="Calibri" w:hAnsi="Calibri" w:asciiTheme="majorHAnsi" w:cstheme="majorHAnsi" w:hAnsiTheme="majorHAnsi"/>
          <w:b/>
          <w:sz w:val="24"/>
        </w:rPr>
        <w:t>Počet pacientov infikovaných rezistentnými baktériami</w:t>
      </w:r>
      <w:r>
        <w:rPr>
          <w:rFonts w:cs="Calibri" w:ascii="Calibri" w:hAnsi="Calibri" w:asciiTheme="majorHAnsi" w:cstheme="majorHAnsi" w:hAnsiTheme="majorHAnsi"/>
          <w:sz w:val="24"/>
        </w:rPr>
        <w:t xml:space="preserve"> totiž </w:t>
      </w:r>
      <w:r>
        <w:rPr>
          <w:rFonts w:cs="Calibri" w:ascii="Calibri" w:hAnsi="Calibri" w:asciiTheme="majorHAnsi" w:cstheme="majorHAnsi" w:hAnsiTheme="majorHAnsi"/>
          <w:b/>
          <w:sz w:val="24"/>
        </w:rPr>
        <w:t>v EÚ stále stúpa</w:t>
      </w:r>
      <w:r>
        <w:rPr>
          <w:rFonts w:cs="Calibri" w:ascii="Calibri" w:hAnsi="Calibri" w:asciiTheme="majorHAnsi" w:cstheme="majorHAnsi" w:hAnsiTheme="majorHAnsi"/>
          <w:sz w:val="24"/>
        </w:rPr>
        <w:t xml:space="preserve">. Rezistencia má </w:t>
      </w:r>
      <w:r>
        <w:rPr>
          <w:rFonts w:cs="Calibri" w:ascii="Calibri" w:hAnsi="Calibri" w:asciiTheme="majorHAnsi" w:cstheme="majorHAnsi" w:hAnsiTheme="majorHAnsi"/>
          <w:b/>
          <w:sz w:val="24"/>
        </w:rPr>
        <w:t>v EÚ na svedomí ročne viac ako 25 000 úmrtí</w:t>
      </w:r>
      <w:r>
        <w:rPr>
          <w:rFonts w:cs="Calibri" w:ascii="Calibri" w:hAnsi="Calibri" w:asciiTheme="majorHAnsi" w:cstheme="majorHAnsi" w:hAnsiTheme="majorHAnsi"/>
          <w:sz w:val="24"/>
        </w:rPr>
        <w:t xml:space="preserve">. Preto je povzbudivé, že naozaj </w:t>
      </w:r>
      <w:r>
        <w:rPr>
          <w:rFonts w:cs="Calibri" w:ascii="Calibri" w:hAnsi="Calibri" w:asciiTheme="majorHAnsi" w:cstheme="majorHAnsi" w:hAnsiTheme="majorHAnsi"/>
          <w:b/>
          <w:sz w:val="24"/>
        </w:rPr>
        <w:t>každý z nás môže prispieť k riešeniu problému</w:t>
      </w:r>
      <w:r>
        <w:rPr>
          <w:rFonts w:cs="Calibri" w:ascii="Calibri" w:hAnsi="Calibri" w:asciiTheme="majorHAnsi" w:cstheme="majorHAnsi" w:hAnsiTheme="majorHAnsi"/>
          <w:sz w:val="24"/>
        </w:rPr>
        <w:t xml:space="preserve">. </w:t>
      </w:r>
    </w:p>
    <w:p>
      <w:pPr>
        <w:pStyle w:val="Normal"/>
        <w:rPr>
          <w:rFonts w:ascii="Calibri" w:hAnsi="Calibri" w:cs="Calibri" w:asciiTheme="majorHAnsi" w:cstheme="majorHAnsi" w:hAnsiTheme="majorHAnsi"/>
          <w:sz w:val="24"/>
        </w:rPr>
      </w:pPr>
      <w:r>
        <w:rPr>
          <w:rFonts w:cs="Calibri" w:cstheme="majorHAnsi" w:ascii="Calibri" w:hAnsi="Calibri"/>
          <w:sz w:val="24"/>
        </w:rPr>
      </w:r>
    </w:p>
    <w:p>
      <w:pPr>
        <w:pStyle w:val="Normal"/>
        <w:jc w:val="both"/>
        <w:rPr>
          <w:rFonts w:ascii="Calibri" w:hAnsi="Calibri" w:cs="Calibri" w:asciiTheme="majorHAnsi" w:cstheme="majorHAnsi" w:hAnsiTheme="majorHAnsi"/>
          <w:sz w:val="24"/>
        </w:rPr>
      </w:pPr>
      <w:r>
        <w:rPr>
          <w:rFonts w:cs="Calibri" w:ascii="Calibri" w:hAnsi="Calibri" w:asciiTheme="majorHAnsi" w:cstheme="majorHAnsi" w:hAnsiTheme="majorHAnsi"/>
          <w:i/>
          <w:sz w:val="24"/>
        </w:rPr>
        <w:t>„</w:t>
      </w:r>
      <w:r>
        <w:rPr>
          <w:rFonts w:cs="Calibri" w:ascii="Calibri" w:hAnsi="Calibri" w:asciiTheme="majorHAnsi" w:cstheme="majorHAnsi" w:hAnsiTheme="majorHAnsi"/>
          <w:i/>
          <w:sz w:val="24"/>
        </w:rPr>
        <w:t xml:space="preserve">Dnes už vieme, že zdravie ľudí, zvierat a životného prostredia spolu úzko súvisia. Proti šíreniu mikrobiálnej rezistencie je preto potrebný multiodborový prístup. Na európskej úrovni funguje program „Jedno zdravie”, ktorý podporuje spoluprácu medzi potravinovými, veterinárnymi, zdravotníckymi laboratóriami a inštitúciami naprieč EÚ. Navyše, EÚ v rámci Akčného plánu proti mikrobiálnej rezistencii podporuje efektívnu odpoveď jednotlivých štátov na tento problém. Aj Slovensko je zapojené do harmonizovaného monitoringu rezistencie. Ako súčasť riešenia problému bol tiež schválený </w:t>
      </w:r>
      <w:hyperlink r:id="rId7">
        <w:r>
          <w:rPr>
            <w:rFonts w:cs="Calibri" w:ascii="Calibri" w:hAnsi="Calibri" w:asciiTheme="majorHAnsi" w:cstheme="majorHAnsi" w:hAnsiTheme="majorHAnsi"/>
            <w:i/>
            <w:color w:val="1155CC"/>
            <w:sz w:val="24"/>
            <w:u w:val="single"/>
          </w:rPr>
          <w:t>Národný akčný plán mikrobiálnej rezistencie v SR na obdobie rokov 2019-2020</w:t>
        </w:r>
      </w:hyperlink>
      <w:r>
        <w:rPr>
          <w:rFonts w:cs="Calibri" w:ascii="Calibri" w:hAnsi="Calibri" w:asciiTheme="majorHAnsi" w:cstheme="majorHAnsi" w:hAnsiTheme="majorHAnsi"/>
          <w:i/>
          <w:sz w:val="24"/>
        </w:rPr>
        <w:t xml:space="preserve">. Ten pojednáva o stave rezistencie, monitoringu a opatreniach v humánnej i veterinárnej medicíne, o potrebnom vzdelávaní dôležitých pracovníkov, ako sú lekári a veterinári či o osvete chovateľov hospodárskych zvierat a multiodborovom prístupe,” </w:t>
      </w:r>
      <w:r>
        <w:rPr>
          <w:rFonts w:cs="Calibri" w:ascii="Calibri" w:hAnsi="Calibri" w:asciiTheme="majorHAnsi" w:cstheme="majorHAnsi" w:hAnsiTheme="majorHAnsi"/>
          <w:sz w:val="24"/>
        </w:rPr>
        <w:t>zakončuje Ing. M. Kuzmiak Theiszová, PhD.</w:t>
      </w:r>
    </w:p>
    <w:p>
      <w:pPr>
        <w:pStyle w:val="Normal"/>
        <w:spacing w:lineRule="auto" w:line="240" w:before="240" w:after="0"/>
        <w:jc w:val="both"/>
        <w:rPr>
          <w:rFonts w:ascii="Calibri" w:hAnsi="Calibri" w:cs="Calibri" w:asciiTheme="majorHAnsi" w:cstheme="majorHAnsi" w:hAnsiTheme="majorHAnsi"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Zavŕšením kampane</w:t>
      </w:r>
      <w:r>
        <w:rPr>
          <w:rFonts w:cs="Calibri" w:ascii="Calibri" w:hAnsi="Calibri" w:asciiTheme="majorHAnsi" w:cstheme="majorHAnsi" w:hAnsiTheme="majorHAnsi"/>
          <w:sz w:val="24"/>
        </w:rPr>
        <w:t xml:space="preserve"> na sociálnych sieťach bude zverejnenie </w:t>
      </w:r>
      <w:r>
        <w:rPr>
          <w:rFonts w:cs="Calibri" w:ascii="Calibri" w:hAnsi="Calibri" w:asciiTheme="majorHAnsi" w:cstheme="majorHAnsi" w:hAnsiTheme="majorHAnsi"/>
          <w:b/>
          <w:sz w:val="24"/>
        </w:rPr>
        <w:t>elektronického letáku</w:t>
      </w:r>
      <w:r>
        <w:rPr>
          <w:rFonts w:cs="Calibri" w:ascii="Calibri" w:hAnsi="Calibri" w:asciiTheme="majorHAnsi" w:cstheme="majorHAnsi" w:hAnsiTheme="majorHAnsi"/>
          <w:sz w:val="24"/>
        </w:rPr>
        <w:t xml:space="preserve">, ktorý zhrnie všetky informácie z kampane. Vďaka tejto iniciatíve sa </w:t>
      </w:r>
      <w:r>
        <w:rPr>
          <w:rFonts w:cs="Calibri" w:ascii="Calibri" w:hAnsi="Calibri" w:asciiTheme="majorHAnsi" w:cstheme="majorHAnsi" w:hAnsiTheme="majorHAnsi"/>
          <w:b/>
          <w:sz w:val="24"/>
        </w:rPr>
        <w:t xml:space="preserve">spotrebitelia dozvedia, ako môže každý </w:t>
      </w:r>
      <w:r>
        <w:rPr>
          <w:rFonts w:cs="Calibri" w:ascii="Calibri" w:hAnsi="Calibri" w:asciiTheme="majorHAnsi" w:cstheme="majorHAnsi" w:hAnsiTheme="majorHAnsi"/>
          <w:sz w:val="24"/>
        </w:rPr>
        <w:t>z nás</w:t>
      </w:r>
      <w:r>
        <w:rPr>
          <w:rFonts w:cs="Calibri" w:ascii="Calibri" w:hAnsi="Calibri" w:asciiTheme="majorHAnsi" w:cstheme="majorHAnsi" w:hAnsiTheme="majorHAnsi"/>
          <w:b/>
          <w:sz w:val="24"/>
        </w:rPr>
        <w:t xml:space="preserve"> rozvážnym konaním zachovať účinnosť antmikrobiálnych látok. </w:t>
      </w:r>
    </w:p>
    <w:p>
      <w:pPr>
        <w:pStyle w:val="Normal"/>
        <w:jc w:val="both"/>
        <w:rPr>
          <w:rFonts w:ascii="Calibri" w:hAnsi="Calibri" w:cs="Calibri" w:asciiTheme="majorHAnsi" w:cstheme="majorHAnsi" w:hAnsiTheme="majorHAnsi"/>
          <w:sz w:val="24"/>
          <w:highlight w:val="yellow"/>
        </w:rPr>
      </w:pPr>
      <w:r>
        <w:rPr>
          <w:rFonts w:cs="Calibri" w:ascii="Calibri" w:hAnsi="Calibri" w:asciiTheme="majorHAnsi" w:cstheme="majorHAnsi" w:hAnsiTheme="majorHAnsi"/>
          <w:i/>
          <w:sz w:val="24"/>
        </w:rPr>
        <w:t xml:space="preserve"> </w:t>
      </w:r>
    </w:p>
    <w:p>
      <w:pPr>
        <w:pStyle w:val="Normal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Odbor bezpečnosti potravín a výživy MPRV SR</w:t>
      </w:r>
    </w:p>
    <w:p>
      <w:pPr>
        <w:pStyle w:val="Normal"/>
        <w:spacing w:lineRule="auto" w:line="240" w:before="240" w:after="0"/>
        <w:jc w:val="both"/>
        <w:rPr>
          <w:rFonts w:ascii="Calibri" w:hAnsi="Calibri" w:cs="Calibri" w:asciiTheme="majorHAnsi" w:cstheme="majorHAnsi" w:hAnsiTheme="majorHAnsi"/>
          <w:sz w:val="24"/>
        </w:rPr>
      </w:pPr>
      <w:r>
        <w:rPr>
          <w:rFonts w:cs="Calibri" w:ascii="Calibri" w:hAnsi="Calibri" w:asciiTheme="majorHAnsi" w:cstheme="majorHAnsi" w:hAnsiTheme="majorHAnsi"/>
          <w:sz w:val="24"/>
        </w:rPr>
        <w:t xml:space="preserve">Odbor bezpečnosti potravín a výživy MPRV SR zabezpečuje výkon Národného kontaktného bodu pre vedeckú a technickú spoluprácu s Európskym úradom pre bezpečnosť potravín (EFSA), Národného kontaktného bodu pre Codex Alimentarius pod gesciou FAO a WHO, ako aj Národného kontaktného miesta Generálneho riaditeľstva pre zdravie a bezpečnosť potravín Európskej komisie a ďalších 6 kontaktných bodov s európskou i medzinárodnou pôsobnosťou. </w:t>
      </w:r>
      <w:r>
        <w:rPr>
          <w:rFonts w:cs="Calibri" w:ascii="Calibri" w:hAnsi="Calibri" w:asciiTheme="majorHAnsi" w:cstheme="majorHAnsi" w:hAnsiTheme="majorHAnsi"/>
          <w:sz w:val="24"/>
          <w:highlight w:val="white"/>
        </w:rPr>
        <w:t>Okrem toho vykonáva aj niektoré legislatívou dané činnosti v oblasti úradnej kontroly</w:t>
      </w:r>
      <w:r>
        <w:rPr>
          <w:rFonts w:cs="Calibri" w:ascii="Calibri" w:hAnsi="Calibri" w:asciiTheme="majorHAnsi" w:cstheme="majorHAnsi" w:hAnsiTheme="majorHAnsi"/>
          <w:sz w:val="24"/>
        </w:rPr>
        <w:t xml:space="preserve">, uvádzania GMO potravín a krmív na trh a organizuje vybrané národné i medzinárodné odborné podujatia v oblasti bezpečnosti potravinového reťazca. Viac informácií o odbore bezpečnosti potravín a výživy MPRV SR je dostupných na </w:t>
      </w:r>
      <w:hyperlink r:id="rId8">
        <w:r>
          <w:rPr>
            <w:rFonts w:cs="Calibri" w:ascii="Calibri" w:hAnsi="Calibri" w:asciiTheme="majorHAnsi" w:cstheme="majorHAnsi" w:hAnsiTheme="majorHAnsi"/>
            <w:color w:val="1155CC"/>
            <w:sz w:val="24"/>
            <w:u w:val="single"/>
          </w:rPr>
          <w:t>webovej stránke MPRV SR</w:t>
        </w:r>
      </w:hyperlink>
      <w:r>
        <w:rPr>
          <w:rFonts w:cs="Calibri" w:ascii="Calibri" w:hAnsi="Calibri" w:asciiTheme="majorHAnsi" w:cstheme="majorHAnsi" w:hAnsiTheme="majorHAnsi"/>
          <w:sz w:val="24"/>
        </w:rPr>
        <w:t xml:space="preserve">. 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sk" w:eastAsia="sk-SK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zev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itul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t.ly/mprvsr-obpv" TargetMode="External"/><Relationship Id="rId3" Type="http://schemas.openxmlformats.org/officeDocument/2006/relationships/hyperlink" Target="https://www.facebook.com/NKBEFSASR/" TargetMode="External"/><Relationship Id="rId4" Type="http://schemas.openxmlformats.org/officeDocument/2006/relationships/hyperlink" Target="https://www.instagram.com/nkb.efsa/" TargetMode="External"/><Relationship Id="rId5" Type="http://schemas.openxmlformats.org/officeDocument/2006/relationships/hyperlink" Target="https://www.facebook.com/NKBEFSASR/" TargetMode="External"/><Relationship Id="rId6" Type="http://schemas.openxmlformats.org/officeDocument/2006/relationships/hyperlink" Target="https://www.instagram.com/nkb.efsa/" TargetMode="External"/><Relationship Id="rId7" Type="http://schemas.openxmlformats.org/officeDocument/2006/relationships/hyperlink" Target="https://www.svps.sk/dokumenty/zakladne_info/Plan_2019-2021.pdf" TargetMode="External"/><Relationship Id="rId8" Type="http://schemas.openxmlformats.org/officeDocument/2006/relationships/hyperlink" Target="https://bit.ly/obpv-o-nas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615</Words>
  <Characters>3953</Characters>
  <CharactersWithSpaces>4570</CharactersWithSpaces>
  <Paragraphs>11</Paragraphs>
  <Company>MPSR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2020-11-18T12:41:00Z</dcterms:created>
  <dc:creator/>
  <dc:description/>
  <dc:language>cs-CZ</dc:language>
  <cp:lastModifiedBy>Milec Lucia</cp:lastModifiedBy>
  <dcterms:modified xsi:type="dcterms:W3CDTF">2020-11-18T12:43:00Z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